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rammi, piani e progetti esecutivi attuativi del programma amministrativo del Sindaco, che non rientrano nella competenza del Consiglio comunale o nelle funzion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rammi, piani e progetti esecutivi attuativi del programma amministrativo del Sindaco, che non rientrano nella competenza del Consiglio comunale o nelle funzion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